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color w:val="FF0000"/>
          <w:sz w:val="24"/>
          <w:lang w:eastAsia="ru-RU"/>
        </w:rPr>
      </w:pPr>
      <w:r>
        <w:rPr>
          <w:b/>
          <w:color w:val="FF0000"/>
          <w:sz w:val="24"/>
          <w:lang w:eastAsia="ru-RU"/>
        </w:rPr>
        <w:t xml:space="preserve">Артикул</w:t>
      </w:r>
      <w:r>
        <w:rPr>
          <w:b/>
          <w:color w:val="FF0000"/>
          <w:sz w:val="24"/>
          <w:lang w:eastAsia="ru-RU"/>
        </w:rPr>
        <w:t xml:space="preserve">                                                                </w:t>
      </w:r>
      <w:r/>
    </w:p>
    <w:p>
      <w:pPr>
        <w:jc w:val="both"/>
        <w:spacing w:before="240" w:line="276" w:lineRule="auto"/>
        <w:rPr>
          <w:b/>
          <w:lang w:eastAsia="ru-RU"/>
        </w:rPr>
      </w:pPr>
      <w:r>
        <w:rPr>
          <w:b/>
          <w:lang w:val="en-US" w:eastAsia="ru-RU"/>
        </w:rPr>
        <w:t xml:space="preserve">IO</w:t>
      </w:r>
      <w:r>
        <w:rPr>
          <w:b/>
          <w:lang w:eastAsia="ru-RU"/>
        </w:rPr>
        <w:t xml:space="preserve">030</w:t>
      </w:r>
      <w:r>
        <w:rPr>
          <w:b/>
          <w:lang w:eastAsia="ru-RU"/>
        </w:rPr>
        <w:t xml:space="preserve">3</w:t>
      </w:r>
      <w:r>
        <w:rPr>
          <w:b/>
          <w:lang w:eastAsia="ru-RU"/>
        </w:rPr>
        <w:t xml:space="preserve">.</w:t>
      </w:r>
      <w:r>
        <w:rPr>
          <w:b/>
          <w:lang w:eastAsia="ru-RU"/>
        </w:rPr>
        <w:t xml:space="preserve">1000</w:t>
      </w:r>
      <w:r/>
    </w:p>
    <w:p>
      <w:pPr>
        <w:jc w:val="both"/>
        <w:spacing w:before="240" w:line="276" w:lineRule="auto"/>
        <w:rPr>
          <w:b/>
          <w:lang w:eastAsia="ru-RU"/>
        </w:rPr>
      </w:pPr>
      <w:r>
        <w:rPr>
          <w:b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765" cy="1542319"/>
                <wp:effectExtent l="0" t="0" r="0" b="0"/>
                <wp:docPr id="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439535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606764" cy="1542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7.8pt;height:121.4pt;" stroked="false">
                <v:path textboxrect="0,0,0,0"/>
                <v:imagedata r:id="rId12" o:title=""/>
              </v:shape>
            </w:pict>
          </mc:Fallback>
        </mc:AlternateContent>
      </w:r>
      <w:r/>
      <w:r/>
    </w:p>
    <w:p>
      <w:pPr>
        <w:jc w:val="both"/>
        <w:spacing w:before="240" w:line="276" w:lineRule="auto"/>
        <w:rPr>
          <w:b/>
          <w:color w:val="FF0000"/>
          <w:sz w:val="24"/>
        </w:rPr>
      </w:pPr>
      <w:r>
        <w:rPr>
          <w:b/>
          <w:color w:val="FF0000"/>
          <w:sz w:val="24"/>
        </w:rPr>
      </w:r>
      <w:r/>
    </w:p>
    <w:p>
      <w:pPr>
        <w:jc w:val="both"/>
        <w:spacing w:before="240" w:line="276" w:lineRule="auto"/>
        <w:rPr>
          <w:b/>
          <w:color w:val="FF0000"/>
          <w:sz w:val="24"/>
        </w:rPr>
      </w:pPr>
      <w:r>
        <w:rPr>
          <w:b/>
          <w:color w:val="FF0000"/>
          <w:sz w:val="24"/>
        </w:rPr>
      </w:r>
      <w:r/>
    </w:p>
    <w:p>
      <w:pPr>
        <w:jc w:val="both"/>
        <w:spacing w:before="240" w:line="276" w:lineRule="auto"/>
        <w:rPr>
          <w:b/>
          <w:color w:val="FF0000"/>
          <w:sz w:val="24"/>
        </w:rPr>
      </w:pPr>
      <w:r>
        <w:rPr>
          <w:b/>
          <w:color w:val="FF0000"/>
          <w:sz w:val="24"/>
        </w:rPr>
      </w:r>
      <w:r/>
    </w:p>
    <w:p>
      <w:pPr>
        <w:jc w:val="both"/>
        <w:spacing w:before="240" w:line="276" w:lineRule="auto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Описание изделия</w:t>
      </w:r>
      <w:r/>
    </w:p>
    <w:p>
      <w:pPr>
        <w:jc w:val="both"/>
        <w:spacing w:before="240" w:line="276" w:lineRule="auto"/>
        <w:rPr>
          <w:sz w:val="24"/>
        </w:rPr>
        <w:sectPr>
          <w:headerReference w:type="default" r:id="rId9"/>
          <w:footerReference w:type="default" r:id="rId10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2" w:sep="0" w:space="708" w:equalWidth="1"/>
          <w:docGrid w:linePitch="360"/>
        </w:sectPr>
      </w:pPr>
      <w:r>
        <w:rPr>
          <w:sz w:val="24"/>
        </w:rPr>
        <w:t xml:space="preserve">Универсальный модуль ввода-вывода на 3 канала</w:t>
      </w:r>
      <w:r>
        <w:rPr>
          <w:sz w:val="24"/>
        </w:rPr>
        <w:t xml:space="preserve">.</w:t>
      </w:r>
      <w:r>
        <w:rPr>
          <w:sz w:val="24"/>
        </w:rPr>
        <w:t xml:space="preserve"> Монтаж на DIN-рейку.</w:t>
      </w:r>
      <w:r/>
    </w:p>
    <w:p>
      <w:pPr>
        <w:jc w:val="both"/>
        <w:spacing w:before="240" w:line="276" w:lineRule="auto"/>
        <w:rPr>
          <w:b/>
          <w:color w:val="FF0000"/>
          <w:sz w:val="24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b/>
          <w:color w:val="FF0000"/>
          <w:sz w:val="24"/>
        </w:rPr>
        <w:t xml:space="preserve">Технические характеристики</w:t>
      </w:r>
      <w:r/>
    </w:p>
    <w:tbl>
      <w:tblPr>
        <w:tblStyle w:val="68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2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Питание</w:t>
            </w:r>
            <w:r/>
          </w:p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Рабочее напряжение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KNX 30</w:t>
            </w:r>
            <w:r>
              <w:t xml:space="preserve">В </w:t>
            </w:r>
            <w:r>
              <w:rPr>
                <w:lang w:val="en-US"/>
              </w:rPr>
              <w:t xml:space="preserve">DC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Максимальная мощность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макс. 12,5 Вт</w:t>
            </w:r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Максимальное потребление тока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макс. 55мА</w:t>
            </w:r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Мощность потерь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макс. 6Вт</w:t>
            </w:r>
            <w:r/>
          </w:p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Потребление тока по </w:t>
            </w:r>
            <w:r>
              <w:rPr>
                <w:lang w:val="en-US"/>
              </w:rPr>
              <w:t xml:space="preserve">EIB</w:t>
            </w:r>
            <w:r>
              <w:t xml:space="preserve">/</w:t>
            </w:r>
            <w:r>
              <w:rPr>
                <w:lang w:val="en-US"/>
              </w:rPr>
              <w:t xml:space="preserve">KNX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&lt; 10 </w:t>
            </w:r>
            <w:r>
              <w:t xml:space="preserve">м</w:t>
            </w:r>
            <w:r>
              <w:rPr>
                <w:lang w:val="en-US"/>
              </w:rPr>
              <w:t xml:space="preserve">A </w:t>
            </w:r>
            <w:r>
              <w:t xml:space="preserve">при</w:t>
            </w:r>
            <w:r>
              <w:rPr>
                <w:lang w:val="en-US"/>
              </w:rPr>
              <w:t xml:space="preserve"> 29</w:t>
            </w:r>
            <w:r>
              <w:t xml:space="preserve">В</w:t>
            </w:r>
            <w:r>
              <w:rPr>
                <w:lang w:val="en-US"/>
              </w:rPr>
              <w:t xml:space="preserve"> DC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Потребление мощности по </w:t>
            </w:r>
            <w:r>
              <w:rPr>
                <w:lang w:val="en-US"/>
              </w:rPr>
              <w:t xml:space="preserve">EIB</w:t>
            </w:r>
            <w:r>
              <w:t xml:space="preserve">/</w:t>
            </w:r>
            <w:r>
              <w:rPr>
                <w:lang w:val="en-US"/>
              </w:rPr>
              <w:t xml:space="preserve">KNX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&lt; 150</w:t>
            </w:r>
            <w:r>
              <w:t xml:space="preserve"> мВт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</w:tbl>
    <w:p>
      <w:pPr>
        <w:spacing w:line="240" w:lineRule="auto"/>
        <w:tabs>
          <w:tab w:val="left" w:pos="7430" w:leader="none"/>
        </w:tabs>
        <w:rPr>
          <w:sz w:val="24"/>
        </w:rPr>
      </w:pPr>
      <w:r>
        <w:rPr>
          <w:sz w:val="24"/>
        </w:rPr>
        <w:tab/>
      </w:r>
      <w:r/>
    </w:p>
    <w:tbl>
      <w:tblPr>
        <w:tblStyle w:val="68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2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Каналы</w:t>
            </w:r>
            <w:r/>
          </w:p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Количество каналов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  <w:p>
            <w:pPr>
              <w:jc w:val="center"/>
            </w:pPr>
            <w:r>
              <w:t xml:space="preserve"> 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Подключения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EIB/KNX</w:t>
            </w:r>
            <w:r/>
          </w:p>
          <w:p>
            <w:pPr>
              <w:rPr>
                <w:lang w:val="en-US"/>
              </w:rPr>
            </w:pPr>
            <w:r>
              <w:rPr>
                <w:lang w:val="en-US"/>
              </w:rPr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клемма шинного соединителя </w:t>
            </w:r>
            <w:r/>
          </w:p>
          <w:p>
            <w:pPr>
              <w:jc w:val="center"/>
            </w:pPr>
            <w:r>
              <w:t xml:space="preserve">одножильный кабель сечением 0,8 мм</w:t>
            </w:r>
            <w:r>
              <w:rPr>
                <w:vertAlign w:val="superscript"/>
              </w:rPr>
              <w:t xml:space="preserve">2 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Выходы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Винтовая клемма</w:t>
            </w:r>
            <w:r/>
          </w:p>
          <w:p>
            <w:r>
              <w:t xml:space="preserve">0,2…2 мм</w:t>
            </w:r>
            <w:r>
              <w:rPr>
                <w:vertAlign w:val="superscript"/>
              </w:rPr>
              <w:t xml:space="preserve">2</w:t>
            </w:r>
            <w:r>
              <w:t xml:space="preserve"> для многожильного кабеля</w:t>
            </w:r>
            <w:r/>
          </w:p>
          <w:p>
            <w:r>
              <w:t xml:space="preserve">0,2…4 мм</w:t>
            </w:r>
            <w:r>
              <w:rPr>
                <w:vertAlign w:val="superscript"/>
              </w:rPr>
              <w:t xml:space="preserve">2</w:t>
            </w:r>
            <w:r>
              <w:t xml:space="preserve"> для одножильного кабеля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Момент затяжки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макс. 0,6 Н*м</w:t>
            </w:r>
            <w:r/>
          </w:p>
        </w:tc>
      </w:tr>
    </w:tbl>
    <w:p>
      <w:r>
        <w:br w:type="page"/>
      </w:r>
      <w:r/>
    </w:p>
    <w:tbl>
      <w:tblPr>
        <w:tblStyle w:val="68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24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  <w:sz w:val="24"/>
              </w:rPr>
              <w:t xml:space="preserve">Класс защиты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IP20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В соответствии с </w:t>
            </w:r>
            <w:r>
              <w:t xml:space="preserve">с</w:t>
            </w:r>
            <w:r>
              <w:t xml:space="preserve"> </w:t>
            </w:r>
            <w:r>
              <w:rPr>
                <w:lang w:val="en-US"/>
              </w:rPr>
              <w:t xml:space="preserve">DIN</w:t>
            </w:r>
            <w:r>
              <w:t xml:space="preserve"> </w:t>
            </w:r>
            <w:r>
              <w:rPr>
                <w:lang w:val="en-US"/>
              </w:rPr>
              <w:t xml:space="preserve">EN</w:t>
            </w:r>
            <w:r>
              <w:t xml:space="preserve"> 60529 (</w:t>
            </w:r>
            <w:r>
              <w:rPr>
                <w:lang w:val="en-US"/>
              </w:rPr>
              <w:t xml:space="preserve">IEC</w:t>
            </w:r>
            <w:r>
              <w:t xml:space="preserve"> 62386)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/>
          </w:p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Температурный диапазон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При работе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-5° C ... + 45° C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  <w:p>
            <w:r>
              <w:t xml:space="preserve">При хранении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-25°C...+ 55°C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При транспортировке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-25°C...+ 70°C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  <w:sz w:val="24"/>
              </w:rPr>
              <w:t xml:space="preserve">Корпус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Тип монтажа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на </w:t>
            </w:r>
            <w:r>
              <w:rPr>
                <w:lang w:val="en-US"/>
              </w:rPr>
              <w:t xml:space="preserve">DIN </w:t>
            </w:r>
            <w:r>
              <w:t xml:space="preserve">рейку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Размеры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90 x 72 x 64,5 мм (</w:t>
            </w:r>
            <w:r>
              <w:t xml:space="preserve">ВхШхГ</w:t>
            </w:r>
            <w:r>
              <w:t xml:space="preserve">)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Ширина в модулях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4 модульных места 18мм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Глубина монтажа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68 мм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  <w:p>
            <w:pPr>
              <w:rPr>
                <w:b/>
              </w:rPr>
            </w:pPr>
            <w:r>
              <w:rPr>
                <w:b/>
                <w:sz w:val="24"/>
              </w:rPr>
              <w:t xml:space="preserve">Масса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t xml:space="preserve">0,19 кг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Корпус, цвет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Пластиковый корпус, серый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/>
            <w:r/>
          </w:p>
          <w:p>
            <w:pPr>
              <w:rPr>
                <w:b/>
              </w:rPr>
            </w:pPr>
            <w:r>
              <w:rPr>
                <w:b/>
                <w:sz w:val="24"/>
              </w:rPr>
              <w:t xml:space="preserve">Согласования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r>
              <w:t xml:space="preserve">- EIB / KNX согласно EN 50 090-1, -2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</w:pPr>
            <w:r>
              <w:t xml:space="preserve">Сертифицировано</w:t>
            </w:r>
            <w:r/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</w:tbl>
    <w:p>
      <w:pPr>
        <w:jc w:val="both"/>
        <w:spacing w:before="240" w:line="276" w:lineRule="auto"/>
        <w:rPr>
          <w:sz w:val="28"/>
        </w:rPr>
      </w:pPr>
      <w:r>
        <w:rPr>
          <w:sz w:val="28"/>
        </w:rPr>
      </w:r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4"/>
      <w:jc w:val="right"/>
    </w:pPr>
    <w:r>
      <w:rPr>
        <w:lang w:eastAsia="ru-RU"/>
      </w:rPr>
      <mc:AlternateContent>
        <mc:Choice Requires="wpg">
          <w:drawing>
            <wp:inline xmlns:wp="http://schemas.openxmlformats.org/drawingml/2006/wordprocessingDrawing" distT="0" distB="0" distL="0" distR="0">
              <wp:extent cx="346075" cy="344454"/>
              <wp:effectExtent l="0" t="0" r="0" b="0"/>
              <wp:docPr id="1" name="Рисунок 5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logo-eac-bianco.png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9695" cy="3779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27.2pt;height:27.1pt;" stroked="false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7"/>
      <w:rPr>
        <w:b/>
        <w:lang w:val="en-US"/>
      </w:rPr>
    </w:pPr>
    <w:r>
      <w:rPr>
        <w:b/>
      </w:rPr>
      <w:t xml:space="preserve">УНИВЕРСАЛЬНЫЙ МОДУЛЬ ВВОДА-ВЫВОДА НА 3 КАНАЛА</w:t>
    </w:r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79"/>
    <w:link w:val="678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7"/>
    <w:next w:val="677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7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7"/>
    <w:next w:val="677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7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7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7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7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7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7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7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77"/>
    <w:next w:val="677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79"/>
    <w:link w:val="32"/>
    <w:uiPriority w:val="10"/>
    <w:rPr>
      <w:sz w:val="48"/>
      <w:szCs w:val="48"/>
    </w:rPr>
  </w:style>
  <w:style w:type="paragraph" w:styleId="34">
    <w:name w:val="Subtitle"/>
    <w:basedOn w:val="677"/>
    <w:next w:val="677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79"/>
    <w:link w:val="34"/>
    <w:uiPriority w:val="11"/>
    <w:rPr>
      <w:sz w:val="24"/>
      <w:szCs w:val="24"/>
    </w:rPr>
  </w:style>
  <w:style w:type="paragraph" w:styleId="36">
    <w:name w:val="Quote"/>
    <w:basedOn w:val="677"/>
    <w:next w:val="677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7"/>
    <w:next w:val="677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79"/>
    <w:link w:val="682"/>
    <w:uiPriority w:val="99"/>
  </w:style>
  <w:style w:type="character" w:styleId="43">
    <w:name w:val="Footer Char"/>
    <w:basedOn w:val="679"/>
    <w:link w:val="684"/>
    <w:uiPriority w:val="99"/>
  </w:style>
  <w:style w:type="paragraph" w:styleId="44">
    <w:name w:val="Caption"/>
    <w:basedOn w:val="677"/>
    <w:next w:val="6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84"/>
    <w:uiPriority w:val="99"/>
  </w:style>
  <w:style w:type="table" w:styleId="47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77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79"/>
    <w:uiPriority w:val="99"/>
    <w:unhideWhenUsed/>
    <w:rPr>
      <w:vertAlign w:val="superscript"/>
    </w:rPr>
  </w:style>
  <w:style w:type="paragraph" w:styleId="176">
    <w:name w:val="endnote text"/>
    <w:basedOn w:val="677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9"/>
    <w:uiPriority w:val="99"/>
    <w:semiHidden/>
    <w:unhideWhenUsed/>
    <w:rPr>
      <w:vertAlign w:val="superscript"/>
    </w:rPr>
  </w:style>
  <w:style w:type="paragraph" w:styleId="179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89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paragraph" w:styleId="678">
    <w:name w:val="Heading 1"/>
    <w:basedOn w:val="677"/>
    <w:next w:val="677"/>
    <w:link w:val="686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paragraph" w:styleId="682">
    <w:name w:val="Header"/>
    <w:basedOn w:val="677"/>
    <w:link w:val="6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3" w:customStyle="1">
    <w:name w:val="Верхний колонтитул Знак"/>
    <w:basedOn w:val="679"/>
    <w:link w:val="682"/>
    <w:uiPriority w:val="99"/>
  </w:style>
  <w:style w:type="paragraph" w:styleId="684">
    <w:name w:val="Footer"/>
    <w:basedOn w:val="677"/>
    <w:link w:val="6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5" w:customStyle="1">
    <w:name w:val="Нижний колонтитул Знак"/>
    <w:basedOn w:val="679"/>
    <w:link w:val="684"/>
    <w:uiPriority w:val="99"/>
  </w:style>
  <w:style w:type="character" w:styleId="686" w:customStyle="1">
    <w:name w:val="Заголовок 1 Знак"/>
    <w:basedOn w:val="679"/>
    <w:link w:val="67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687">
    <w:name w:val="TOC Heading"/>
    <w:basedOn w:val="678"/>
    <w:next w:val="677"/>
    <w:uiPriority w:val="39"/>
    <w:unhideWhenUsed/>
    <w:qFormat/>
    <w:pPr>
      <w:outlineLvl w:val="9"/>
    </w:pPr>
    <w:rPr>
      <w:lang w:eastAsia="ru-RU"/>
    </w:rPr>
  </w:style>
  <w:style w:type="paragraph" w:styleId="688">
    <w:name w:val="List Paragraph"/>
    <w:basedOn w:val="677"/>
    <w:uiPriority w:val="34"/>
    <w:qFormat/>
    <w:pPr>
      <w:contextualSpacing/>
      <w:ind w:left="720"/>
    </w:pPr>
  </w:style>
  <w:style w:type="table" w:styleId="689">
    <w:name w:val="Table Grid"/>
    <w:basedOn w:val="68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E3C4EF95-D4B2-4217-9003-4782B9E4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Andrey Golovin</cp:lastModifiedBy>
  <cp:revision>9</cp:revision>
  <dcterms:created xsi:type="dcterms:W3CDTF">2022-10-10T18:15:00Z</dcterms:created>
  <dcterms:modified xsi:type="dcterms:W3CDTF">2022-10-13T11:09:53Z</dcterms:modified>
</cp:coreProperties>
</file>